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Arial" w:cs="Arial" w:eastAsia="Arial" w:hAnsi="Arial"/>
          <w:b/>
          <w:bCs/>
          <w:sz w:val="36"/>
          <w:szCs w:val="36"/>
        </w:rPr>
        <w:t xml:space="preserve">Prerequisite Coursework</w:t>
      </w:r>
    </w:p>
    <w:p>
      <w:pPr>
        <w:spacing w:after="240"/>
      </w:pPr>
      <w:r>
        <w:rPr>
          <w:rFonts w:ascii="Arial" w:cs="Arial" w:eastAsia="Arial" w:hAnsi="Arial"/>
          <w:sz w:val="22"/>
          <w:szCs w:val="22"/>
        </w:rPr>
        <w:t xml:space="preserve">For Admission to Agricultural Economics (MS) | University of Nebraska-Lincoln</w:t>
      </w:r>
    </w:p>
    <w:p>
      <w:pPr>
        <w:pBdr>
          <w:bottom w:val="single" w:color="000000" w:sz="4" w:space="1"/>
        </w:pBdr>
        <w:spacing w:after="240"/>
      </w:pPr>
      <w:r>
        <w:rPr>
          <w:rFonts w:ascii="Arial" w:cs="Arial" w:eastAsia="Arial" w:hAnsi="Arial"/>
          <w:sz w:val="13"/>
          <w:szCs w:val="13"/>
        </w:rPr>
        <w:t xml:space="preserve">Office of Graduate Studies | 1100 Seaton Hall, Lincoln NE 68588-0619 | Phone 402-472-2875 | Fax 402-472-0589 | www.unl.edu/gradstudies | graduate@unl.edu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3960"/>
        <w:gridCol w:w="1800"/>
      </w:tblGrid>
      <w:tr>
        <w:tc>
          <w:tcPr>
            <w:tcW w:type="dxa" w:w="360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000000" w:sz="4" w:space="1"/>
              </w:pBdr>
            </w:pPr>
            <w:r>
              <w:rPr>
                <w:sz w:val="22"/>
                <w:szCs w:val="22"/>
              </w:rPr>
              <w:t xml:space="preserve"> </w:t>
            </w:r>
          </w:p>
          <w:p>
            <w:r>
              <w:rPr>
                <w:rFonts w:ascii="Arial" w:cs="Arial" w:eastAsia="Arial" w:hAnsi="Arial"/>
                <w:i/>
                <w:iCs/>
                <w:sz w:val="16"/>
                <w:szCs w:val="16"/>
              </w:rPr>
              <w:t xml:space="preserve">Applicant Full Name</w:t>
            </w:r>
          </w:p>
        </w:tc>
        <w:tc>
          <w:tcPr>
            <w:tcW w:type="dxa" w:w="3960"/>
            <w:tcBorders>
              <w:top w:val="none" w:color="FFFFFF" w:sz="0"/>
              <w:left w:val="none" w:color="FFFFFF" w:sz="0"/>
              <w:bottom w:val="none" w:color="FFFFFF" w:sz="0"/>
              <w:right w:val="none" w:color="FFFFFF" w:sz="0"/>
            </w:tcBorders>
            <w:tcMar>
              <w:top w:type="dxa" w:w="0"/>
              <w:left w:type="dxa" w:w="120"/>
              <w:bottom w:type="dxa" w:w="0"/>
              <w:right w:type="dxa" w:w="120"/>
            </w:tcMar>
          </w:tcPr>
          <w:p>
            <w:pPr>
              <w:pBdr>
                <w:bottom w:val="single" w:color="000000" w:sz="4" w:space="1"/>
              </w:pBdr>
            </w:pPr>
            <w:r>
              <w:rPr>
                <w:sz w:val="22"/>
                <w:szCs w:val="22"/>
              </w:rPr>
              <w:t xml:space="preserve"> </w:t>
            </w:r>
          </w:p>
          <w:p>
            <w:r>
              <w:rPr>
                <w:rFonts w:ascii="Arial" w:cs="Arial" w:eastAsia="Arial" w:hAnsi="Arial"/>
                <w:i/>
                <w:iCs/>
                <w:sz w:val="16"/>
                <w:szCs w:val="16"/>
              </w:rPr>
              <w:t xml:space="preserve">Applicant Email Address</w:t>
            </w:r>
          </w:p>
        </w:tc>
        <w:tc>
          <w:tcPr>
            <w:tcW w:type="dxa" w:w="1800"/>
            <w:tcBorders>
              <w:top w:val="none" w:color="FFFFFF" w:sz="0"/>
              <w:left w:val="none" w:color="FFFFFF" w:sz="0"/>
              <w:bottom w:val="none" w:color="FFFFFF" w:sz="0"/>
              <w:right w:val="none" w:color="FFFFFF" w:sz="0"/>
            </w:tcBorders>
            <w:tcMar>
              <w:top w:type="dxa" w:w="0"/>
              <w:left w:type="dxa" w:w="120"/>
              <w:bottom w:type="dxa" w:w="0"/>
              <w:right w:type="dxa" w:w="0"/>
            </w:tcMar>
          </w:tcPr>
          <w:p>
            <w:pPr>
              <w:pBdr>
                <w:bottom w:val="single" w:color="000000" w:sz="4" w:space="1"/>
              </w:pBdr>
            </w:pPr>
            <w:r>
              <w:rPr>
                <w:sz w:val="22"/>
                <w:szCs w:val="22"/>
              </w:rPr>
              <w:t xml:space="preserve"> </w:t>
            </w:r>
          </w:p>
          <w:p>
            <w:r>
              <w:rPr>
                <w:rFonts w:ascii="Arial" w:cs="Arial" w:eastAsia="Arial" w:hAnsi="Arial"/>
                <w:i/>
                <w:iCs/>
                <w:sz w:val="16"/>
                <w:szCs w:val="16"/>
              </w:rPr>
              <w:t xml:space="preserve">Date</w:t>
            </w:r>
          </w:p>
        </w:tc>
      </w:tr>
    </w:tbl>
    <w:p>
      <w:pPr>
        <w:spacing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3600"/>
        <w:gridCol w:w="1080"/>
      </w:tblGrid>
      <w:tr>
        <w:tc>
          <w:tcPr>
            <w:tcW w:type="dxa" w:w="2340"/>
            <w:vMerge w:val="restart"/>
            <w:tcBorders>
              <w:top w:val="single" w:color="000000" w:sz="6"/>
              <w:left w:val="single" w:color="000000" w:sz="6"/>
              <w:bottom w:val="single" w:color="000000" w:sz="6"/>
              <w:right w:val="single" w:color="000000" w:sz="6"/>
            </w:tcBorders>
            <w:shd w:fill="F2F2F2" w:val="clear"/>
            <w:tcMar>
              <w:top w:type="dxa" w:w="80"/>
              <w:left w:type="dxa" w:w="120"/>
              <w:bottom w:type="dxa" w:w="80"/>
              <w:right w:type="dxa" w:w="120"/>
            </w:tcMar>
            <w:vAlign w:val="center"/>
          </w:tcPr>
          <w:p>
            <w:r>
              <w:rPr>
                <w:rFonts w:ascii="Arial" w:cs="Arial" w:eastAsia="Arial" w:hAnsi="Arial"/>
                <w:b/>
                <w:bCs/>
                <w:sz w:val="20"/>
                <w:szCs w:val="20"/>
              </w:rPr>
              <w:t xml:space="preserve">Course at UNL</w:t>
            </w:r>
          </w:p>
        </w:tc>
        <w:tc>
          <w:tcPr>
            <w:tcW w:type="dxa" w:w="7020"/>
            <w:gridSpan w:val="3"/>
            <w:tcBorders>
              <w:top w:val="single" w:color="000000" w:sz="6"/>
              <w:left w:val="single" w:color="000000" w:sz="6"/>
              <w:bottom w:val="single" w:color="000000" w:sz="6"/>
              <w:right w:val="single" w:color="000000" w:sz="6"/>
            </w:tcBorders>
            <w:shd w:fill="F2F2F2" w:val="clear"/>
            <w:tcMar>
              <w:top w:type="dxa" w:w="80"/>
              <w:left w:type="dxa" w:w="120"/>
              <w:bottom w:type="dxa" w:w="80"/>
              <w:right w:type="dxa" w:w="120"/>
            </w:tcMar>
          </w:tcPr>
          <w:p>
            <w:r>
              <w:rPr>
                <w:rFonts w:ascii="Arial" w:cs="Arial" w:eastAsia="Arial" w:hAnsi="Arial"/>
                <w:b/>
                <w:bCs/>
                <w:sz w:val="20"/>
                <w:szCs w:val="20"/>
              </w:rPr>
              <w:t xml:space="preserve">Equivalent Course You Have Taken</w:t>
            </w:r>
          </w:p>
        </w:tc>
      </w:tr>
      <w:tr>
        <w:tc>
          <w:tcPr>
            <w:vMerge w:val="continue"/>
            <w:tcBorders>
              <w:top w:val="single" w:color="000000" w:sz="6"/>
              <w:left w:val="single" w:color="000000" w:sz="6"/>
              <w:bottom w:val="single" w:color="000000" w:sz="6"/>
              <w:right w:val="single" w:color="000000" w:sz="6"/>
            </w:tcBorders>
          </w:tcPr>
          <w:p/>
        </w:tc>
        <w:tc>
          <w:tcPr>
            <w:tcW w:type="dxa" w:w="2340"/>
            <w:tcBorders>
              <w:top w:val="single" w:color="000000" w:sz="6"/>
              <w:left w:val="single" w:color="000000" w:sz="6"/>
              <w:bottom w:val="single" w:color="000000" w:sz="6"/>
              <w:right w:val="single" w:color="000000" w:sz="6"/>
            </w:tcBorders>
            <w:shd w:fill="F2F2F2" w:val="clear"/>
            <w:tcMar>
              <w:top w:type="dxa" w:w="80"/>
              <w:left w:type="dxa" w:w="120"/>
              <w:bottom w:type="dxa" w:w="80"/>
              <w:right w:type="dxa" w:w="120"/>
            </w:tcMar>
          </w:tcPr>
          <w:p>
            <w:r>
              <w:rPr>
                <w:rFonts w:ascii="Arial" w:cs="Arial" w:eastAsia="Arial" w:hAnsi="Arial"/>
                <w:b/>
                <w:bCs/>
                <w:sz w:val="20"/>
                <w:szCs w:val="20"/>
              </w:rPr>
              <w:t xml:space="preserve">Institution</w:t>
            </w:r>
          </w:p>
        </w:tc>
        <w:tc>
          <w:tcPr>
            <w:tcW w:type="dxa" w:w="3600"/>
            <w:tcBorders>
              <w:top w:val="single" w:color="000000" w:sz="6"/>
              <w:left w:val="single" w:color="000000" w:sz="6"/>
              <w:bottom w:val="single" w:color="000000" w:sz="6"/>
              <w:right w:val="single" w:color="000000" w:sz="6"/>
            </w:tcBorders>
            <w:shd w:fill="F2F2F2" w:val="clear"/>
            <w:tcMar>
              <w:top w:type="dxa" w:w="80"/>
              <w:left w:type="dxa" w:w="120"/>
              <w:bottom w:type="dxa" w:w="80"/>
              <w:right w:type="dxa" w:w="120"/>
            </w:tcMar>
          </w:tcPr>
          <w:p>
            <w:r>
              <w:rPr>
                <w:rFonts w:ascii="Arial" w:cs="Arial" w:eastAsia="Arial" w:hAnsi="Arial"/>
                <w:b/>
                <w:bCs/>
                <w:sz w:val="20"/>
                <w:szCs w:val="20"/>
              </w:rPr>
              <w:t xml:space="preserve">Course Number and Title</w:t>
            </w:r>
          </w:p>
        </w:tc>
        <w:tc>
          <w:tcPr>
            <w:tcW w:type="dxa" w:w="1080"/>
            <w:tcBorders>
              <w:top w:val="single" w:color="000000" w:sz="6"/>
              <w:left w:val="single" w:color="000000" w:sz="6"/>
              <w:bottom w:val="single" w:color="000000" w:sz="6"/>
              <w:right w:val="single" w:color="000000" w:sz="6"/>
            </w:tcBorders>
            <w:shd w:fill="F2F2F2" w:val="clear"/>
            <w:tcMar>
              <w:top w:type="dxa" w:w="80"/>
              <w:left w:type="dxa" w:w="80"/>
              <w:bottom w:type="dxa" w:w="80"/>
              <w:right w:type="dxa" w:w="80"/>
            </w:tcMar>
          </w:tcPr>
          <w:p>
            <w:r>
              <w:rPr>
                <w:rFonts w:ascii="Arial" w:cs="Arial" w:eastAsia="Arial" w:hAnsi="Arial"/>
                <w:b/>
                <w:bCs/>
                <w:sz w:val="20"/>
                <w:szCs w:val="20"/>
              </w:rPr>
              <w:t xml:space="preserve">Grade</w:t>
            </w:r>
          </w:p>
        </w:tc>
      </w:tr>
      <w:tr>
        <w:tc>
          <w:tcPr>
            <w:tcW w:type="dxa" w:w="2340"/>
            <w:tcBorders>
              <w:top w:val="single" w:color="000000" w:sz="6"/>
              <w:left w:val="single" w:color="000000" w:sz="6"/>
              <w:bottom w:val="single" w:color="000000" w:sz="6"/>
              <w:right w:val="single" w:color="000000" w:sz="6"/>
            </w:tcBorders>
            <w:tcMar>
              <w:top w:type="dxa" w:w="80"/>
              <w:left w:type="dxa" w:w="120"/>
              <w:bottom w:type="dxa" w:w="80"/>
              <w:right w:type="dxa" w:w="120"/>
            </w:tcMar>
          </w:tcPr>
          <w:p>
            <w:r>
              <w:rPr>
                <w:rFonts w:ascii="Arial" w:cs="Arial" w:eastAsia="Arial" w:hAnsi="Arial"/>
                <w:sz w:val="20"/>
                <w:szCs w:val="20"/>
              </w:rPr>
              <w:t xml:space="preserve">MATH 106: Calculus I</w:t>
            </w:r>
            <w:r>
              <w:rPr>
                <w:sz w:val="20"/>
                <w:szCs w:val="20"/>
              </w:rPr>
              <w:t xml:space="preserve">
</w:t>
            </w:r>
            <w:r>
              <w:rPr>
                <w:rFonts w:ascii="Arial" w:cs="Arial" w:eastAsia="Arial" w:hAnsi="Arial"/>
                <w:i/>
                <w:iCs/>
                <w:sz w:val="20"/>
                <w:szCs w:val="20"/>
              </w:rPr>
              <w:t xml:space="preserve">or</w:t>
            </w:r>
            <w:r>
              <w:rPr>
                <w:rFonts w:ascii="Arial" w:cs="Arial" w:eastAsia="Arial" w:hAnsi="Arial"/>
                <w:sz w:val="20"/>
                <w:szCs w:val="20"/>
              </w:rPr>
              <w:t xml:space="preserve"> MATH 104: Calculus for Managerial and Social Sciences</w:t>
            </w:r>
          </w:p>
        </w:tc>
        <w:tc>
          <w:tcPr>
            <w:tcW w:type="dxa" w:w="2340"/>
            <w:tcBorders>
              <w:top w:val="single" w:color="000000" w:sz="6"/>
              <w:left w:val="single" w:color="000000" w:sz="6"/>
              <w:bottom w:val="single" w:color="000000" w:sz="6"/>
              <w:right w:val="single" w:color="000000" w:sz="6"/>
            </w:tcBorders>
            <w:tcMar>
              <w:top w:type="dxa" w:w="80"/>
              <w:left w:type="dxa" w:w="120"/>
              <w:bottom w:type="dxa" w:w="80"/>
              <w:right w:type="dxa" w:w="120"/>
            </w:tcMar>
          </w:tcPr>
          <w:p>
            <w:r>
              <w:rPr>
                <w:sz w:val="20"/>
                <w:szCs w:val="20"/>
              </w:rPr>
              <w:t xml:space="preserve"> </w:t>
            </w:r>
          </w:p>
        </w:tc>
        <w:tc>
          <w:tcPr>
            <w:tcW w:type="dxa" w:w="3600"/>
            <w:tcBorders>
              <w:top w:val="single" w:color="000000" w:sz="6"/>
              <w:left w:val="single" w:color="000000" w:sz="6"/>
              <w:bottom w:val="single" w:color="000000" w:sz="6"/>
              <w:right w:val="single" w:color="000000" w:sz="6"/>
            </w:tcBorders>
            <w:tcMar>
              <w:top w:type="dxa" w:w="80"/>
              <w:left w:type="dxa" w:w="120"/>
              <w:bottom w:type="dxa" w:w="80"/>
              <w:right w:type="dxa" w:w="120"/>
            </w:tcMar>
          </w:tcPr>
          <w:p>
            <w:r>
              <w:rPr>
                <w:sz w:val="20"/>
                <w:szCs w:val="20"/>
              </w:rPr>
              <w:t xml:space="preserve"> </w:t>
            </w:r>
          </w:p>
        </w:tc>
        <w:tc>
          <w:tcPr>
            <w:tcW w:type="dxa" w:w="1080"/>
            <w:tcBorders>
              <w:top w:val="single" w:color="000000" w:sz="6"/>
              <w:left w:val="single" w:color="000000" w:sz="6"/>
              <w:bottom w:val="single" w:color="000000" w:sz="6"/>
              <w:right w:val="single" w:color="000000" w:sz="6"/>
            </w:tcBorders>
            <w:tcMar>
              <w:top w:type="dxa" w:w="80"/>
              <w:left w:type="dxa" w:w="80"/>
              <w:bottom w:type="dxa" w:w="80"/>
              <w:right w:type="dxa" w:w="80"/>
            </w:tcMar>
          </w:tcPr>
          <w:p>
            <w:r>
              <w:rPr>
                <w:sz w:val="20"/>
                <w:szCs w:val="20"/>
              </w:rPr>
              <w:t xml:space="preserve"> </w:t>
            </w:r>
          </w:p>
        </w:tc>
      </w:tr>
      <w:tr>
        <w:tc>
          <w:tcPr>
            <w:tcW w:type="dxa" w:w="2340"/>
            <w:tcBorders>
              <w:top w:val="single" w:color="000000" w:sz="6"/>
              <w:left w:val="single" w:color="000000" w:sz="6"/>
              <w:bottom w:val="single" w:color="000000" w:sz="6"/>
              <w:right w:val="single" w:color="000000" w:sz="6"/>
            </w:tcBorders>
            <w:tcMar>
              <w:top w:type="dxa" w:w="80"/>
              <w:left w:type="dxa" w:w="120"/>
              <w:bottom w:type="dxa" w:w="80"/>
              <w:right w:type="dxa" w:w="120"/>
            </w:tcMar>
          </w:tcPr>
          <w:p>
            <w:r>
              <w:rPr>
                <w:rFonts w:ascii="Arial" w:cs="Arial" w:eastAsia="Arial" w:hAnsi="Arial"/>
                <w:sz w:val="20"/>
                <w:szCs w:val="20"/>
              </w:rPr>
              <w:t xml:space="preserve">STAT 218: Introduction to Statistics</w:t>
            </w:r>
          </w:p>
        </w:tc>
        <w:tc>
          <w:tcPr>
            <w:tcW w:type="dxa" w:w="2340"/>
            <w:tcBorders>
              <w:top w:val="single" w:color="000000" w:sz="6"/>
              <w:left w:val="single" w:color="000000" w:sz="6"/>
              <w:bottom w:val="single" w:color="000000" w:sz="6"/>
              <w:right w:val="single" w:color="000000" w:sz="6"/>
            </w:tcBorders>
            <w:tcMar>
              <w:top w:type="dxa" w:w="80"/>
              <w:left w:type="dxa" w:w="120"/>
              <w:bottom w:type="dxa" w:w="80"/>
              <w:right w:type="dxa" w:w="120"/>
            </w:tcMar>
          </w:tcPr>
          <w:p>
            <w:r>
              <w:rPr>
                <w:sz w:val="20"/>
                <w:szCs w:val="20"/>
              </w:rPr>
              <w:t xml:space="preserve"> </w:t>
            </w:r>
          </w:p>
        </w:tc>
        <w:tc>
          <w:tcPr>
            <w:tcW w:type="dxa" w:w="3600"/>
            <w:tcBorders>
              <w:top w:val="single" w:color="000000" w:sz="6"/>
              <w:left w:val="single" w:color="000000" w:sz="6"/>
              <w:bottom w:val="single" w:color="000000" w:sz="6"/>
              <w:right w:val="single" w:color="000000" w:sz="6"/>
            </w:tcBorders>
            <w:tcMar>
              <w:top w:type="dxa" w:w="80"/>
              <w:left w:type="dxa" w:w="120"/>
              <w:bottom w:type="dxa" w:w="80"/>
              <w:right w:type="dxa" w:w="120"/>
            </w:tcMar>
          </w:tcPr>
          <w:p>
            <w:r>
              <w:rPr>
                <w:sz w:val="20"/>
                <w:szCs w:val="20"/>
              </w:rPr>
              <w:t xml:space="preserve"> </w:t>
            </w:r>
          </w:p>
        </w:tc>
        <w:tc>
          <w:tcPr>
            <w:tcW w:type="dxa" w:w="1080"/>
            <w:tcBorders>
              <w:top w:val="single" w:color="000000" w:sz="6"/>
              <w:left w:val="single" w:color="000000" w:sz="6"/>
              <w:bottom w:val="single" w:color="000000" w:sz="6"/>
              <w:right w:val="single" w:color="000000" w:sz="6"/>
            </w:tcBorders>
            <w:tcMar>
              <w:top w:type="dxa" w:w="80"/>
              <w:left w:type="dxa" w:w="80"/>
              <w:bottom w:type="dxa" w:w="80"/>
              <w:right w:type="dxa" w:w="80"/>
            </w:tcMar>
          </w:tcPr>
          <w:p>
            <w:r>
              <w:rPr>
                <w:sz w:val="20"/>
                <w:szCs w:val="20"/>
              </w:rPr>
              <w:t xml:space="preserve"> </w:t>
            </w:r>
          </w:p>
        </w:tc>
      </w:tr>
      <w:tr>
        <w:tc>
          <w:tcPr>
            <w:tcW w:type="dxa" w:w="2340"/>
            <w:tcBorders>
              <w:top w:val="single" w:color="000000" w:sz="6"/>
              <w:left w:val="single" w:color="000000" w:sz="6"/>
              <w:bottom w:val="single" w:color="000000" w:sz="6"/>
              <w:right w:val="single" w:color="000000" w:sz="6"/>
            </w:tcBorders>
            <w:tcMar>
              <w:top w:type="dxa" w:w="80"/>
              <w:left w:type="dxa" w:w="120"/>
              <w:bottom w:type="dxa" w:w="80"/>
              <w:right w:type="dxa" w:w="120"/>
            </w:tcMar>
          </w:tcPr>
          <w:p>
            <w:r>
              <w:rPr>
                <w:rFonts w:ascii="Arial" w:cs="Arial" w:eastAsia="Arial" w:hAnsi="Arial"/>
                <w:sz w:val="20"/>
                <w:szCs w:val="20"/>
              </w:rPr>
              <w:t xml:space="preserve">ECON 311: Intermediate Macroeconomics</w:t>
            </w:r>
          </w:p>
        </w:tc>
        <w:tc>
          <w:tcPr>
            <w:tcW w:type="dxa" w:w="2340"/>
            <w:tcBorders>
              <w:top w:val="single" w:color="000000" w:sz="6"/>
              <w:left w:val="single" w:color="000000" w:sz="6"/>
              <w:bottom w:val="single" w:color="000000" w:sz="6"/>
              <w:right w:val="single" w:color="000000" w:sz="6"/>
            </w:tcBorders>
            <w:tcMar>
              <w:top w:type="dxa" w:w="80"/>
              <w:left w:type="dxa" w:w="120"/>
              <w:bottom w:type="dxa" w:w="80"/>
              <w:right w:type="dxa" w:w="120"/>
            </w:tcMar>
          </w:tcPr>
          <w:p>
            <w:r>
              <w:rPr>
                <w:sz w:val="20"/>
                <w:szCs w:val="20"/>
              </w:rPr>
              <w:t xml:space="preserve"> </w:t>
            </w:r>
          </w:p>
        </w:tc>
        <w:tc>
          <w:tcPr>
            <w:tcW w:type="dxa" w:w="3600"/>
            <w:tcBorders>
              <w:top w:val="single" w:color="000000" w:sz="6"/>
              <w:left w:val="single" w:color="000000" w:sz="6"/>
              <w:bottom w:val="single" w:color="000000" w:sz="6"/>
              <w:right w:val="single" w:color="000000" w:sz="6"/>
            </w:tcBorders>
            <w:tcMar>
              <w:top w:type="dxa" w:w="80"/>
              <w:left w:type="dxa" w:w="120"/>
              <w:bottom w:type="dxa" w:w="80"/>
              <w:right w:type="dxa" w:w="120"/>
            </w:tcMar>
          </w:tcPr>
          <w:p>
            <w:r>
              <w:rPr>
                <w:sz w:val="20"/>
                <w:szCs w:val="20"/>
              </w:rPr>
              <w:t xml:space="preserve"> </w:t>
            </w:r>
          </w:p>
        </w:tc>
        <w:tc>
          <w:tcPr>
            <w:tcW w:type="dxa" w:w="1080"/>
            <w:tcBorders>
              <w:top w:val="single" w:color="000000" w:sz="6"/>
              <w:left w:val="single" w:color="000000" w:sz="6"/>
              <w:bottom w:val="single" w:color="000000" w:sz="6"/>
              <w:right w:val="single" w:color="000000" w:sz="6"/>
            </w:tcBorders>
            <w:tcMar>
              <w:top w:type="dxa" w:w="80"/>
              <w:left w:type="dxa" w:w="80"/>
              <w:bottom w:type="dxa" w:w="80"/>
              <w:right w:type="dxa" w:w="80"/>
            </w:tcMar>
          </w:tcPr>
          <w:p>
            <w:r>
              <w:rPr>
                <w:sz w:val="20"/>
                <w:szCs w:val="20"/>
              </w:rPr>
              <w:t xml:space="preserve"> </w:t>
            </w:r>
          </w:p>
        </w:tc>
      </w:tr>
      <w:tr>
        <w:tc>
          <w:tcPr>
            <w:tcW w:type="dxa" w:w="2340"/>
            <w:tcBorders>
              <w:top w:val="single" w:color="000000" w:sz="6"/>
              <w:left w:val="single" w:color="000000" w:sz="6"/>
              <w:bottom w:val="single" w:color="000000" w:sz="6"/>
              <w:right w:val="single" w:color="000000" w:sz="6"/>
            </w:tcBorders>
            <w:tcMar>
              <w:top w:type="dxa" w:w="80"/>
              <w:left w:type="dxa" w:w="120"/>
              <w:bottom w:type="dxa" w:w="80"/>
              <w:right w:type="dxa" w:w="120"/>
            </w:tcMar>
          </w:tcPr>
          <w:p>
            <w:r>
              <w:rPr>
                <w:rFonts w:ascii="Arial" w:cs="Arial" w:eastAsia="Arial" w:hAnsi="Arial"/>
                <w:sz w:val="20"/>
                <w:szCs w:val="20"/>
              </w:rPr>
              <w:t xml:space="preserve">ECON 312: Intermediate Microeconomics</w:t>
            </w:r>
          </w:p>
        </w:tc>
        <w:tc>
          <w:tcPr>
            <w:tcW w:type="dxa" w:w="2340"/>
            <w:tcBorders>
              <w:top w:val="single" w:color="000000" w:sz="6"/>
              <w:left w:val="single" w:color="000000" w:sz="6"/>
              <w:bottom w:val="single" w:color="000000" w:sz="6"/>
              <w:right w:val="single" w:color="000000" w:sz="6"/>
            </w:tcBorders>
            <w:tcMar>
              <w:top w:type="dxa" w:w="80"/>
              <w:left w:type="dxa" w:w="120"/>
              <w:bottom w:type="dxa" w:w="80"/>
              <w:right w:type="dxa" w:w="120"/>
            </w:tcMar>
          </w:tcPr>
          <w:p>
            <w:r>
              <w:rPr>
                <w:sz w:val="20"/>
                <w:szCs w:val="20"/>
              </w:rPr>
              <w:t xml:space="preserve"> </w:t>
            </w:r>
          </w:p>
        </w:tc>
        <w:tc>
          <w:tcPr>
            <w:tcW w:type="dxa" w:w="3600"/>
            <w:tcBorders>
              <w:top w:val="single" w:color="000000" w:sz="6"/>
              <w:left w:val="single" w:color="000000" w:sz="6"/>
              <w:bottom w:val="single" w:color="000000" w:sz="6"/>
              <w:right w:val="single" w:color="000000" w:sz="6"/>
            </w:tcBorders>
            <w:tcMar>
              <w:top w:type="dxa" w:w="80"/>
              <w:left w:type="dxa" w:w="120"/>
              <w:bottom w:type="dxa" w:w="80"/>
              <w:right w:type="dxa" w:w="120"/>
            </w:tcMar>
          </w:tcPr>
          <w:p>
            <w:r>
              <w:rPr>
                <w:sz w:val="20"/>
                <w:szCs w:val="20"/>
              </w:rPr>
              <w:t xml:space="preserve"> </w:t>
            </w:r>
          </w:p>
        </w:tc>
        <w:tc>
          <w:tcPr>
            <w:tcW w:type="dxa" w:w="1080"/>
            <w:tcBorders>
              <w:top w:val="single" w:color="000000" w:sz="6"/>
              <w:left w:val="single" w:color="000000" w:sz="6"/>
              <w:bottom w:val="single" w:color="000000" w:sz="6"/>
              <w:right w:val="single" w:color="000000" w:sz="6"/>
            </w:tcBorders>
            <w:tcMar>
              <w:top w:type="dxa" w:w="80"/>
              <w:left w:type="dxa" w:w="80"/>
              <w:bottom w:type="dxa" w:w="80"/>
              <w:right w:type="dxa" w:w="80"/>
            </w:tcMar>
          </w:tcPr>
          <w:p>
            <w:r>
              <w:rPr>
                <w:sz w:val="20"/>
                <w:szCs w:val="20"/>
              </w:rPr>
              <w:t xml:space="preserve"> </w:t>
            </w:r>
          </w:p>
        </w:tc>
      </w:tr>
    </w:tbl>
    <w:p>
      <w:pPr>
        <w:spacing w:after="240"/>
      </w:pPr>
      <w:r>
        <w:t xml:space="preserve"/>
      </w:r>
    </w:p>
    <w:p>
      <w:pPr>
        <w:pBdr>
          <w:bottom w:val="single" w:color="000000" w:sz="4" w:space="4"/>
        </w:pBdr>
        <w:spacing w:after="160"/>
      </w:pPr>
      <w:r>
        <w:rPr>
          <w:rFonts w:ascii="Arial" w:cs="Arial" w:eastAsia="Arial" w:hAnsi="Arial"/>
          <w:b/>
          <w:bCs/>
          <w:sz w:val="24"/>
          <w:szCs w:val="24"/>
        </w:rPr>
        <w:t xml:space="preserve">Course Descriptions (for reference)</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4800"/>
      </w:tblGrid>
      <w:tr>
        <w:tc>
          <w:tcPr>
            <w:tcW w:type="dxa" w:w="4560"/>
            <w:tcBorders>
              <w:top w:val="none" w:color="FFFFFF" w:sz="0"/>
              <w:left w:val="none" w:color="FFFFFF" w:sz="0"/>
              <w:bottom w:val="none" w:color="FFFFFF" w:sz="0"/>
              <w:right w:val="none" w:color="FFFFFF" w:sz="0"/>
            </w:tcBorders>
            <w:tcMar>
              <w:top w:type="dxa" w:w="0"/>
              <w:left w:type="dxa" w:w="0"/>
              <w:bottom w:type="dxa" w:w="0"/>
              <w:right w:type="dxa" w:w="240"/>
            </w:tcMar>
          </w:tcPr>
          <w:p>
            <w:pPr>
              <w:spacing w:after="60"/>
            </w:pPr>
            <w:r>
              <w:rPr>
                <w:rFonts w:ascii="Arial" w:cs="Arial" w:eastAsia="Arial" w:hAnsi="Arial"/>
                <w:b/>
                <w:bCs/>
                <w:sz w:val="18"/>
                <w:szCs w:val="18"/>
              </w:rPr>
              <w:t xml:space="preserve">MATH 106: Calculus I</w:t>
            </w:r>
          </w:p>
          <w:p>
            <w:pPr>
              <w:spacing w:after="180"/>
            </w:pPr>
            <w:r>
              <w:rPr>
                <w:rFonts w:ascii="Arial" w:cs="Arial" w:eastAsia="Arial" w:hAnsi="Arial"/>
                <w:sz w:val="18"/>
                <w:szCs w:val="18"/>
              </w:rPr>
              <w:t xml:space="preserve">Functions of one variable, limits, differentiation, exponential, trigonometric and inverse trigonometric functions, maximum-minimum, and basic integration theory (Riemann sums) with some applications.</w:t>
            </w:r>
          </w:p>
          <w:p>
            <w:pPr>
              <w:spacing w:after="60"/>
            </w:pPr>
            <w:r>
              <w:rPr>
                <w:rFonts w:ascii="Arial" w:cs="Arial" w:eastAsia="Arial" w:hAnsi="Arial"/>
                <w:b/>
                <w:bCs/>
                <w:sz w:val="18"/>
                <w:szCs w:val="18"/>
              </w:rPr>
              <w:t xml:space="preserve">MATH 104:  Calculus for Managerial and Social Sciences</w:t>
            </w:r>
          </w:p>
          <w:p>
            <w:pPr>
              <w:spacing w:after="180"/>
            </w:pPr>
            <w:r>
              <w:rPr>
                <w:rFonts w:ascii="Arial" w:cs="Arial" w:eastAsia="Arial" w:hAnsi="Arial"/>
                <w:sz w:val="18"/>
                <w:szCs w:val="18"/>
              </w:rPr>
              <w:t xml:space="preserve">Rudiments of differential and integral calculus with applications to problems from business, economics, and social sciences.</w:t>
            </w:r>
          </w:p>
          <w:p>
            <w:pPr>
              <w:spacing w:after="60"/>
            </w:pPr>
            <w:r>
              <w:rPr>
                <w:rFonts w:ascii="Arial" w:cs="Arial" w:eastAsia="Arial" w:hAnsi="Arial"/>
                <w:b/>
                <w:bCs/>
                <w:sz w:val="18"/>
                <w:szCs w:val="18"/>
              </w:rPr>
              <w:t xml:space="preserve">STAT 218 Introduction to Statistics</w:t>
            </w:r>
          </w:p>
          <w:p>
            <w:pPr>
              <w:spacing w:after="0"/>
            </w:pPr>
            <w:r>
              <w:rPr>
                <w:rFonts w:ascii="Arial" w:cs="Arial" w:eastAsia="Arial" w:hAnsi="Arial"/>
                <w:sz w:val="18"/>
                <w:szCs w:val="18"/>
              </w:rPr>
              <w:t xml:space="preserve">The practical application of statistical thinking to contemporary issues; collection and organization of data; probability distributions; statistical inference; estimation; and hypothesis testing.</w:t>
            </w:r>
          </w:p>
        </w:tc>
        <w:tc>
          <w:tcPr>
            <w:tcW w:type="dxa" w:w="4800"/>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pPr>
            <w:r>
              <w:rPr>
                <w:rFonts w:ascii="Arial" w:cs="Arial" w:eastAsia="Arial" w:hAnsi="Arial"/>
                <w:b/>
                <w:bCs/>
                <w:sz w:val="18"/>
                <w:szCs w:val="18"/>
              </w:rPr>
              <w:t xml:space="preserve">ECON 311: Intermediate Macroeconomics</w:t>
            </w:r>
          </w:p>
          <w:p>
            <w:pPr>
              <w:spacing w:after="180"/>
            </w:pPr>
            <w:r>
              <w:rPr>
                <w:rFonts w:ascii="Arial" w:cs="Arial" w:eastAsia="Arial" w:hAnsi="Arial"/>
                <w:sz w:val="18"/>
                <w:szCs w:val="18"/>
              </w:rPr>
              <w:t xml:space="preserve">Extensions and elaboration of theories of aggregate production, consumption, savings and investment, and international trade and finance. Detailed analyses of aggregate demand and supply and applications to inflation and unemployment. Various models of a market economy’s performance, and analyses of monetary and fiscal policies for macroeconomic stabilization and growth.</w:t>
            </w:r>
          </w:p>
          <w:p>
            <w:pPr>
              <w:spacing w:after="60"/>
            </w:pPr>
            <w:r>
              <w:rPr>
                <w:rFonts w:ascii="Arial" w:cs="Arial" w:eastAsia="Arial" w:hAnsi="Arial"/>
                <w:b/>
                <w:bCs/>
                <w:sz w:val="18"/>
                <w:szCs w:val="18"/>
              </w:rPr>
              <w:t xml:space="preserve">ECON 312:  Intermediate Microeconomics</w:t>
            </w:r>
          </w:p>
          <w:p>
            <w:pPr>
              <w:spacing w:after="0"/>
            </w:pPr>
            <w:r>
              <w:rPr>
                <w:rFonts w:ascii="Arial" w:cs="Arial" w:eastAsia="Arial" w:hAnsi="Arial"/>
                <w:sz w:val="18"/>
                <w:szCs w:val="18"/>
              </w:rPr>
              <w:t xml:space="preserve">Extension and elaboration of the economic theories of the behavior of producers, consumers, and markets. Applications include analyses of taxation, rationing and other government policies, price discrimination, cartels, unions, and international markets.</w:t>
            </w:r>
          </w:p>
        </w:tc>
      </w:tr>
    </w:tbl>
    <w:sectPr>
      <w:pgSz w:w="12240" w:h="15840" w:orient="portrait"/>
      <w:pgMar w:top="720" w:right="1080" w:bottom="72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2026-04-17T21:20:23.290Z</dcterms:created>
  <dcterms:modified xsi:type="dcterms:W3CDTF">2026-04-17T21:20:23.291Z</dcterms:modified>
</cp:coreProperties>
</file>

<file path=docProps/custom.xml><?xml version="1.0" encoding="utf-8"?>
<Properties xmlns="http://schemas.openxmlformats.org/officeDocument/2006/custom-properties" xmlns:vt="http://schemas.openxmlformats.org/officeDocument/2006/docPropsVTypes"/>
</file>